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98D8" w14:textId="2C750368" w:rsidR="002E0D83" w:rsidRDefault="002E0D83" w:rsidP="003265A7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w:drawing>
          <wp:inline distT="0" distB="0" distL="0" distR="0" wp14:anchorId="1FE20F67" wp14:editId="001E94C7">
            <wp:extent cx="1012190" cy="102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07B3C" w14:textId="0FDC4F6C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4B1A464C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FF78BA">
        <w:rPr>
          <w:rFonts w:ascii="Arial" w:hAnsi="Arial" w:cs="Arial"/>
          <w:b/>
          <w:sz w:val="24"/>
          <w:szCs w:val="24"/>
        </w:rPr>
        <w:t>Fire Chief’s Association of Broward County</w:t>
      </w:r>
    </w:p>
    <w:p w14:paraId="4A079D23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>Committee Report</w:t>
      </w:r>
    </w:p>
    <w:p w14:paraId="21242527" w14:textId="58888924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="0065734A">
        <w:rPr>
          <w:rFonts w:ascii="Arial" w:hAnsi="Arial" w:cs="Arial"/>
          <w:b/>
          <w:sz w:val="24"/>
          <w:szCs w:val="24"/>
        </w:rPr>
        <w:t>Sept 4</w:t>
      </w:r>
      <w:r>
        <w:rPr>
          <w:rFonts w:ascii="Arial" w:hAnsi="Arial" w:cs="Arial"/>
          <w:b/>
          <w:sz w:val="24"/>
          <w:szCs w:val="24"/>
        </w:rPr>
        <w:t>, 2025</w:t>
      </w:r>
    </w:p>
    <w:p w14:paraId="02B2100E" w14:textId="77EC22EA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Spill-Cristiano, FCABC EM Sub-Committee Chair</w:t>
      </w:r>
    </w:p>
    <w:p w14:paraId="39045F86" w14:textId="284D0584" w:rsidR="003265A7" w:rsidRDefault="003265A7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 Schoen Sub-Committee Co-Chair</w:t>
      </w:r>
    </w:p>
    <w:p w14:paraId="11DFA06E" w14:textId="77777777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1D6BBC3D" w14:textId="5945E22C" w:rsidR="00BE4C36" w:rsidRDefault="00A75ED5" w:rsidP="00BE4C36">
      <w:pPr>
        <w:spacing w:after="0" w:line="240" w:lineRule="auto"/>
        <w:rPr>
          <w:rFonts w:ascii="Arial" w:hAnsi="Arial" w:cs="Arial"/>
          <w:b/>
          <w:bCs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 xml:space="preserve">Committee </w:t>
      </w:r>
      <w:r w:rsidR="00BE4C36">
        <w:rPr>
          <w:rFonts w:ascii="Arial" w:hAnsi="Arial" w:cs="Arial"/>
          <w:b/>
          <w:bCs/>
        </w:rPr>
        <w:t xml:space="preserve">Meeting held </w:t>
      </w:r>
      <w:r w:rsidR="00C30A5D">
        <w:rPr>
          <w:rFonts w:ascii="Arial" w:hAnsi="Arial" w:cs="Arial"/>
          <w:b/>
          <w:bCs/>
        </w:rPr>
        <w:t>8/27</w:t>
      </w:r>
      <w:r w:rsidR="002715FF">
        <w:rPr>
          <w:rFonts w:ascii="Arial" w:hAnsi="Arial" w:cs="Arial"/>
          <w:b/>
          <w:bCs/>
        </w:rPr>
        <w:t xml:space="preserve"> </w:t>
      </w:r>
      <w:r w:rsidR="00BE4C36">
        <w:rPr>
          <w:rFonts w:ascii="Arial" w:hAnsi="Arial" w:cs="Arial"/>
          <w:b/>
          <w:bCs/>
        </w:rPr>
        <w:t xml:space="preserve">at </w:t>
      </w:r>
      <w:r w:rsidR="0070730B" w:rsidRPr="00054415">
        <w:rPr>
          <w:rFonts w:ascii="Arial" w:hAnsi="Arial" w:cs="Arial"/>
          <w:b/>
          <w:bCs/>
        </w:rPr>
        <w:t xml:space="preserve">1:30 PM </w:t>
      </w:r>
    </w:p>
    <w:p w14:paraId="138261B9" w14:textId="77777777" w:rsidR="00EC4941" w:rsidRPr="00992084" w:rsidRDefault="00EC4941" w:rsidP="00EC494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198FD84" w14:textId="3582BE3F" w:rsidR="00B36E10" w:rsidRPr="00756448" w:rsidRDefault="00B36E10" w:rsidP="00B36E10">
      <w:pPr>
        <w:pStyle w:val="FirstParagraph"/>
        <w:rPr>
          <w:rFonts w:eastAsiaTheme="minorHAnsi"/>
          <w:b/>
          <w:color w:val="auto"/>
        </w:rPr>
      </w:pPr>
      <w:r w:rsidRPr="00756448">
        <w:rPr>
          <w:rFonts w:eastAsiaTheme="minorHAnsi"/>
          <w:b/>
          <w:color w:val="auto"/>
        </w:rPr>
        <w:t>Attendees: Noted in sign in Sheet 29 in total</w:t>
      </w:r>
    </w:p>
    <w:p w14:paraId="35426208" w14:textId="5D1B0A52" w:rsidR="00B36E10" w:rsidRDefault="00B36E10" w:rsidP="00B36E10">
      <w:pPr>
        <w:pStyle w:val="Compact"/>
        <w:numPr>
          <w:ilvl w:val="0"/>
          <w:numId w:val="19"/>
        </w:numPr>
      </w:pPr>
      <w:r>
        <w:t xml:space="preserve">Representatives from: Broward County Public Schools, Coconut Creek, Coral Springs, Cooper City, Davie, Dania, Deerfield Beach, Fort Lauderdale, Hallandale, Hillsborough Beach, Hollywood, </w:t>
      </w:r>
      <w:r>
        <w:t>Lauderhill</w:t>
      </w:r>
      <w:r>
        <w:t>, Lauderdale by the Sea, Lazy Lake, Lakes, Lighthouse Point, Margate, Miramar, North Lauderdale, Oakland Park, Parkland, Pompano, Plantation, Sea Ranch Lakes, Ranches, Sunrise, Tamarac, Wilton Manors, Westlake, Weston</w:t>
      </w:r>
    </w:p>
    <w:p w14:paraId="4EB7A5C5" w14:textId="77777777" w:rsidR="00B36E10" w:rsidRDefault="00B36E10" w:rsidP="00B36E10">
      <w:pPr>
        <w:pStyle w:val="Compact"/>
        <w:numPr>
          <w:ilvl w:val="0"/>
          <w:numId w:val="19"/>
        </w:numPr>
      </w:pPr>
      <w:r>
        <w:t>Friends from Grainger</w:t>
      </w:r>
    </w:p>
    <w:p w14:paraId="765F60BD" w14:textId="77777777" w:rsidR="00B36E10" w:rsidRDefault="00B36E10" w:rsidP="00B36E10">
      <w:r>
        <w:pict w14:anchorId="323241EB">
          <v:rect id="_x0000_i1025" style="width:0;height:1.5pt" o:hralign="center" o:hrstd="t" o:hr="t"/>
        </w:pict>
      </w:r>
    </w:p>
    <w:p w14:paraId="440F1B43" w14:textId="77777777" w:rsidR="00B36E10" w:rsidRDefault="00B36E10" w:rsidP="00B36E10">
      <w:pPr>
        <w:pStyle w:val="FirstParagraph"/>
      </w:pPr>
      <w:r>
        <w:rPr>
          <w:b/>
          <w:bCs/>
        </w:rPr>
        <w:t>1. Executive Summary:</w:t>
      </w:r>
    </w:p>
    <w:p w14:paraId="1295A2B3" w14:textId="77777777" w:rsidR="00B36E10" w:rsidRDefault="00B36E10" w:rsidP="00B36E10">
      <w:pPr>
        <w:pStyle w:val="Compact"/>
        <w:numPr>
          <w:ilvl w:val="0"/>
          <w:numId w:val="19"/>
        </w:numPr>
      </w:pPr>
      <w:r>
        <w:t>The meeting focused on upcoming training, emergency management updates, health advisories, vendor partnership opportunities, and operational updates from various jurisdictions.</w:t>
      </w:r>
    </w:p>
    <w:p w14:paraId="47C989C5" w14:textId="2DEE95C0" w:rsidR="004018D4" w:rsidRPr="004018D4" w:rsidRDefault="004018D4" w:rsidP="0036517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4018D4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Discussion and updates regarding </w:t>
      </w:r>
      <w:r w:rsidRPr="004018D4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SB180 – CEMP </w:t>
      </w:r>
      <w:r w:rsidRPr="004018D4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&amp; </w:t>
      </w:r>
      <w:r w:rsidRPr="004018D4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Training Templates not out yet. </w:t>
      </w:r>
    </w:p>
    <w:p w14:paraId="118F59D6" w14:textId="07223E7E" w:rsidR="00B36E10" w:rsidRDefault="00B36E10" w:rsidP="00B36E10">
      <w:pPr>
        <w:pStyle w:val="Compact"/>
        <w:numPr>
          <w:ilvl w:val="0"/>
          <w:numId w:val="19"/>
        </w:numPr>
      </w:pPr>
      <w:r>
        <w:t>Grainger presented their expanded emergency management capabilities, emphasizing partnership opportunities, supply chain support, and resources for disaster preparedness and response.</w:t>
      </w:r>
    </w:p>
    <w:p w14:paraId="4376320C" w14:textId="77777777" w:rsidR="00B36E10" w:rsidRDefault="00B36E10" w:rsidP="00B36E10">
      <w:pPr>
        <w:pStyle w:val="Compact"/>
        <w:numPr>
          <w:ilvl w:val="0"/>
          <w:numId w:val="19"/>
        </w:numPr>
      </w:pPr>
      <w:r>
        <w:t>Updates were provided on statewide training realignment, FEMA damage assessment changes, and public health concerns (mosquito-borne illnesses, respiratory illnesses, vaccine reminders).</w:t>
      </w:r>
    </w:p>
    <w:p w14:paraId="286ABEE4" w14:textId="77777777" w:rsidR="00B36E10" w:rsidRDefault="00B36E10" w:rsidP="00B36E10">
      <w:pPr>
        <w:pStyle w:val="Compact"/>
        <w:numPr>
          <w:ilvl w:val="0"/>
          <w:numId w:val="19"/>
        </w:numPr>
      </w:pPr>
      <w:r>
        <w:t>Operational and administrative matters included upcoming elections, open positions, and reminders about the next meeting of the ECC date November.</w:t>
      </w:r>
    </w:p>
    <w:p w14:paraId="222A0413" w14:textId="77777777" w:rsidR="00B36E10" w:rsidRDefault="00B36E10" w:rsidP="00B36E10">
      <w:pPr>
        <w:pStyle w:val="Compact"/>
        <w:numPr>
          <w:ilvl w:val="0"/>
          <w:numId w:val="19"/>
        </w:numPr>
      </w:pPr>
      <w:r>
        <w:t xml:space="preserve">Old business covered </w:t>
      </w:r>
      <w:proofErr w:type="spellStart"/>
      <w:r>
        <w:t>Starlink</w:t>
      </w:r>
      <w:proofErr w:type="spellEnd"/>
      <w:r>
        <w:t xml:space="preserve"> account changes and alternative connectivity options.</w:t>
      </w:r>
    </w:p>
    <w:p w14:paraId="40EB1F2D" w14:textId="77777777" w:rsidR="00B36E10" w:rsidRDefault="00B36E10" w:rsidP="00B36E10">
      <w:pPr>
        <w:pStyle w:val="Compact"/>
        <w:numPr>
          <w:ilvl w:val="0"/>
          <w:numId w:val="19"/>
        </w:numPr>
      </w:pPr>
      <w:r>
        <w:t xml:space="preserve">Key action items were assigned regarding training, communications, elections, and </w:t>
      </w:r>
      <w:proofErr w:type="spellStart"/>
      <w:r>
        <w:t>Starlink</w:t>
      </w:r>
      <w:proofErr w:type="spellEnd"/>
      <w:r>
        <w:t xml:space="preserve"> account management.</w:t>
      </w:r>
    </w:p>
    <w:p w14:paraId="1717C5C3" w14:textId="77777777" w:rsidR="00B36E10" w:rsidRDefault="00B36E10" w:rsidP="00B36E10">
      <w:r>
        <w:pict w14:anchorId="4D1794A9">
          <v:rect id="_x0000_i1026" style="width:0;height:1.5pt" o:hralign="center" o:hrstd="t" o:hr="t"/>
        </w:pict>
      </w:r>
    </w:p>
    <w:p w14:paraId="060A771A" w14:textId="77777777" w:rsidR="00B36E10" w:rsidRDefault="00B36E10" w:rsidP="00B36E10">
      <w:pPr>
        <w:pStyle w:val="FirstParagraph"/>
      </w:pPr>
    </w:p>
    <w:p w14:paraId="5A87C8D5" w14:textId="77777777" w:rsidR="00B36E10" w:rsidRDefault="00B36E10" w:rsidP="00B36E10">
      <w:pPr>
        <w:pStyle w:val="FirstParagraph"/>
      </w:pPr>
      <w:r>
        <w:t>**2. Key Action Items/Commitments: **</w:t>
      </w:r>
    </w:p>
    <w:p w14:paraId="2630698C" w14:textId="5647355C" w:rsidR="00B36E10" w:rsidRDefault="00B36E10" w:rsidP="00B36E10">
      <w:pPr>
        <w:pStyle w:val="Compact"/>
        <w:numPr>
          <w:ilvl w:val="0"/>
          <w:numId w:val="19"/>
        </w:numPr>
      </w:pPr>
      <w:r>
        <w:t xml:space="preserve">**Review and distribute FROC opt-in period </w:t>
      </w:r>
      <w:r w:rsidR="00841C25">
        <w:t>details: *</w:t>
      </w:r>
      <w:r>
        <w:t>*Ensure all relevant staff are informed about dates/times.</w:t>
      </w:r>
    </w:p>
    <w:p w14:paraId="2A4DF55B" w14:textId="7101A22C" w:rsidR="00B36E10" w:rsidRDefault="00B36E10" w:rsidP="00B36E10">
      <w:pPr>
        <w:pStyle w:val="Compact"/>
        <w:numPr>
          <w:ilvl w:val="0"/>
          <w:numId w:val="19"/>
        </w:numPr>
      </w:pPr>
      <w:r>
        <w:lastRenderedPageBreak/>
        <w:t xml:space="preserve">**Monitor and share </w:t>
      </w:r>
      <w:r>
        <w:t>SERT TRAC</w:t>
      </w:r>
      <w:r>
        <w:t xml:space="preserve"> training </w:t>
      </w:r>
      <w:r w:rsidR="00841C25">
        <w:t>opportunities: *</w:t>
      </w:r>
      <w:r>
        <w:t>*Encourage staff to sign up for high-demand courses (G300, G400, sheltering, public assistance).</w:t>
      </w:r>
    </w:p>
    <w:p w14:paraId="0BCA6134" w14:textId="1E354A54" w:rsidR="00B36E10" w:rsidRDefault="00B36E10" w:rsidP="00B36E10">
      <w:pPr>
        <w:pStyle w:val="Compact"/>
        <w:numPr>
          <w:ilvl w:val="0"/>
          <w:numId w:val="19"/>
        </w:numPr>
      </w:pPr>
      <w:r>
        <w:t xml:space="preserve">**Confirm </w:t>
      </w:r>
      <w:proofErr w:type="spellStart"/>
      <w:r>
        <w:t>Starlink</w:t>
      </w:r>
      <w:proofErr w:type="spellEnd"/>
      <w:r>
        <w:t xml:space="preserve"> account </w:t>
      </w:r>
      <w:proofErr w:type="gramStart"/>
      <w:r>
        <w:t>updates:*</w:t>
      </w:r>
      <w:proofErr w:type="gramEnd"/>
      <w:r>
        <w:t xml:space="preserve">*Ensure compliance with the $5 account change by the 13th of </w:t>
      </w:r>
      <w:r>
        <w:t>September</w:t>
      </w:r>
      <w:r>
        <w:t>; explore alternatives</w:t>
      </w:r>
      <w:r>
        <w:t>,</w:t>
      </w:r>
      <w:r>
        <w:t xml:space="preserve"> if needed.</w:t>
      </w:r>
    </w:p>
    <w:p w14:paraId="6DFFC3C1" w14:textId="77777777" w:rsidR="00B36E10" w:rsidRDefault="00B36E10" w:rsidP="00B36E10">
      <w:pPr>
        <w:pStyle w:val="Compact"/>
        <w:numPr>
          <w:ilvl w:val="0"/>
          <w:numId w:val="19"/>
        </w:numPr>
      </w:pPr>
      <w:r>
        <w:t>**Attend November ECC meeting for elections: **Participate in secretary and vice chair elections; confirm attendance and readiness for voting.</w:t>
      </w:r>
    </w:p>
    <w:p w14:paraId="0805C857" w14:textId="77777777" w:rsidR="00B36E10" w:rsidRDefault="00B36E10" w:rsidP="00B36E10">
      <w:pPr>
        <w:pStyle w:val="Compact"/>
        <w:numPr>
          <w:ilvl w:val="0"/>
          <w:numId w:val="19"/>
        </w:numPr>
      </w:pPr>
      <w:r>
        <w:t>**Forward relevant presentations and updates: **Share any new bills or presentations with the group as they become available.</w:t>
      </w:r>
    </w:p>
    <w:p w14:paraId="60E36395" w14:textId="77777777" w:rsidR="00B36E10" w:rsidRDefault="00B36E10" w:rsidP="00B36E10">
      <w:r>
        <w:pict w14:anchorId="1CAEEB64">
          <v:rect id="_x0000_i1027" style="width:0;height:1.5pt" o:hralign="center" o:hrstd="t" o:hr="t"/>
        </w:pict>
      </w:r>
    </w:p>
    <w:p w14:paraId="0E702AE4" w14:textId="77777777" w:rsidR="00B36E10" w:rsidRDefault="00B36E10" w:rsidP="00B36E10">
      <w:pPr>
        <w:pStyle w:val="FirstParagraph"/>
      </w:pPr>
      <w:r>
        <w:rPr>
          <w:b/>
          <w:bCs/>
        </w:rPr>
        <w:t>3. Detailed Breakdown by Topic:</w:t>
      </w:r>
      <w:r>
        <w:br/>
      </w:r>
      <w:r>
        <w:rPr>
          <w:b/>
          <w:bCs/>
        </w:rPr>
        <w:t>Topic 1: Introductions &amp; Upcoming Events</w:t>
      </w:r>
    </w:p>
    <w:p w14:paraId="002A258E" w14:textId="77777777" w:rsidR="00B36E10" w:rsidRDefault="00B36E10" w:rsidP="00B36E10">
      <w:pPr>
        <w:pStyle w:val="Compact"/>
        <w:numPr>
          <w:ilvl w:val="0"/>
          <w:numId w:val="19"/>
        </w:numPr>
      </w:pPr>
      <w:r>
        <w:t>Meeting opened with introductions, including Grainger representatives.</w:t>
      </w:r>
    </w:p>
    <w:p w14:paraId="6BEF58F4" w14:textId="77777777" w:rsidR="00B36E10" w:rsidRDefault="00B36E10" w:rsidP="00B36E10">
      <w:pPr>
        <w:pStyle w:val="Compact"/>
        <w:numPr>
          <w:ilvl w:val="0"/>
          <w:numId w:val="19"/>
        </w:numPr>
      </w:pPr>
      <w:r>
        <w:t>FROC opt-in period announced; details available on event flyer.</w:t>
      </w:r>
    </w:p>
    <w:p w14:paraId="58347476" w14:textId="77777777" w:rsidR="00B36E10" w:rsidRDefault="00B36E10" w:rsidP="00B36E10">
      <w:pPr>
        <w:pStyle w:val="Compact"/>
        <w:numPr>
          <w:ilvl w:val="0"/>
          <w:numId w:val="19"/>
        </w:numPr>
      </w:pPr>
      <w:r>
        <w:t>Reminder to check news/events for updates.</w:t>
      </w:r>
    </w:p>
    <w:p w14:paraId="6F64C9C7" w14:textId="77777777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>Topic 2: Training &amp; Exercises Update (Tatiana, via proxy)</w:t>
      </w:r>
    </w:p>
    <w:p w14:paraId="089DBB40" w14:textId="6D3A47AA" w:rsidR="00B36E10" w:rsidRDefault="00B36E10" w:rsidP="00B36E10">
      <w:pPr>
        <w:pStyle w:val="Compact"/>
        <w:numPr>
          <w:ilvl w:val="0"/>
          <w:numId w:val="19"/>
        </w:numPr>
      </w:pPr>
      <w:r>
        <w:t>F</w:t>
      </w:r>
      <w:r>
        <w:t>DEM</w:t>
      </w:r>
      <w:r>
        <w:t xml:space="preserve"> training realignment: DEM consolidating all training under new Florida Emergency Management program. The goal is standardization and progression, building a clear path</w:t>
      </w:r>
      <w:r>
        <w:t xml:space="preserve"> to be number one in the Country</w:t>
      </w:r>
      <w:r>
        <w:t>.</w:t>
      </w:r>
    </w:p>
    <w:p w14:paraId="262545B7" w14:textId="77777777" w:rsidR="00B36E10" w:rsidRDefault="00B36E10" w:rsidP="00B36E10">
      <w:pPr>
        <w:pStyle w:val="Compact"/>
        <w:numPr>
          <w:ilvl w:val="0"/>
          <w:numId w:val="19"/>
        </w:numPr>
      </w:pPr>
      <w:r>
        <w:t>Collaboration with statewide subject matter experts; over 1,000 active instructors.</w:t>
      </w:r>
    </w:p>
    <w:p w14:paraId="7EF0518C" w14:textId="77777777" w:rsidR="00B36E10" w:rsidRDefault="00B36E10" w:rsidP="00B36E10">
      <w:pPr>
        <w:pStyle w:val="Compact"/>
        <w:numPr>
          <w:ilvl w:val="0"/>
          <w:numId w:val="19"/>
        </w:numPr>
      </w:pPr>
      <w:r>
        <w:t>340 courses were delivered in 2022; high demand for G300, G400, sheltering, public assistance.</w:t>
      </w:r>
    </w:p>
    <w:p w14:paraId="6475606B" w14:textId="77777777" w:rsidR="00B36E10" w:rsidRDefault="00B36E10" w:rsidP="00B36E10">
      <w:pPr>
        <w:pStyle w:val="Compact"/>
        <w:numPr>
          <w:ilvl w:val="0"/>
          <w:numId w:val="19"/>
        </w:numPr>
      </w:pPr>
      <w:r>
        <w:t>Instructor challenges noted include stability, communication gaps, and a new emphasis on mentorship and succession planning for cadre development.</w:t>
      </w:r>
    </w:p>
    <w:p w14:paraId="0600CCC1" w14:textId="002D3FC9" w:rsidR="00B36E10" w:rsidRDefault="00B36E10" w:rsidP="00B36E10">
      <w:pPr>
        <w:pStyle w:val="Compact"/>
        <w:numPr>
          <w:ilvl w:val="0"/>
          <w:numId w:val="19"/>
        </w:numPr>
      </w:pPr>
      <w:r>
        <w:t xml:space="preserve">L449 train-the-trainer is one of only six </w:t>
      </w:r>
      <w:r w:rsidR="00C133A5">
        <w:t>states</w:t>
      </w:r>
      <w:r>
        <w:t xml:space="preserve"> to host it without EMI, NDE presence. Clear pathway takes prerequisites, upload resumes/evals to </w:t>
      </w:r>
      <w:r w:rsidR="00C133A5">
        <w:t>S</w:t>
      </w:r>
      <w:r>
        <w:t>ERTRAC.</w:t>
      </w:r>
    </w:p>
    <w:p w14:paraId="67BBC075" w14:textId="4E9AA90E" w:rsidR="00B36E10" w:rsidRDefault="00B36E10" w:rsidP="00B36E10">
      <w:pPr>
        <w:pStyle w:val="Compact"/>
        <w:numPr>
          <w:ilvl w:val="0"/>
          <w:numId w:val="19"/>
        </w:numPr>
      </w:pPr>
      <w:r>
        <w:t>Broward County will be hosting the L4</w:t>
      </w:r>
      <w:r w:rsidR="00C133A5">
        <w:t>49</w:t>
      </w:r>
      <w:r>
        <w:t xml:space="preserve"> in 202</w:t>
      </w:r>
      <w:r w:rsidR="00C133A5">
        <w:t>6</w:t>
      </w:r>
      <w:r>
        <w:t>; clarification on state-sponsored versus state-assisted courses.</w:t>
      </w:r>
    </w:p>
    <w:p w14:paraId="28D3391F" w14:textId="50542A73" w:rsidR="00B36E10" w:rsidRDefault="00B36E10" w:rsidP="00B36E10">
      <w:pPr>
        <w:pStyle w:val="Compact"/>
        <w:numPr>
          <w:ilvl w:val="0"/>
          <w:numId w:val="19"/>
        </w:numPr>
      </w:pPr>
      <w:r>
        <w:t xml:space="preserve">Active training calendar on </w:t>
      </w:r>
      <w:r>
        <w:t>S</w:t>
      </w:r>
      <w:r>
        <w:t>ERT</w:t>
      </w:r>
      <w:r>
        <w:t xml:space="preserve"> TRAC</w:t>
      </w:r>
      <w:r>
        <w:t xml:space="preserve"> includes ICS</w:t>
      </w:r>
      <w:r>
        <w:t xml:space="preserve"> </w:t>
      </w:r>
      <w:r>
        <w:t xml:space="preserve">G300 and sheltering works </w:t>
      </w:r>
      <w:proofErr w:type="spellStart"/>
      <w:r w:rsidR="00CF7F5B">
        <w:t>WebEOC</w:t>
      </w:r>
      <w:proofErr w:type="spellEnd"/>
      <w:r>
        <w:t xml:space="preserve"> refreshers courses listed into early 20</w:t>
      </w:r>
      <w:r w:rsidR="00CF7F5B">
        <w:t>26</w:t>
      </w:r>
      <w:r>
        <w:t>. Broward is a frequent host site.</w:t>
      </w:r>
    </w:p>
    <w:p w14:paraId="4A433453" w14:textId="77777777" w:rsidR="00B36E10" w:rsidRDefault="00B36E10" w:rsidP="00B36E10">
      <w:pPr>
        <w:pStyle w:val="Compact"/>
        <w:numPr>
          <w:ilvl w:val="0"/>
          <w:numId w:val="19"/>
        </w:numPr>
      </w:pPr>
      <w:r>
        <w:t>Minimum attendance requirements: 15 people for G courses, 20 for L courses.</w:t>
      </w:r>
    </w:p>
    <w:p w14:paraId="0F3B3ABC" w14:textId="77777777" w:rsidR="00B36E10" w:rsidRDefault="00B36E10" w:rsidP="00B36E10">
      <w:pPr>
        <w:pStyle w:val="Compact"/>
        <w:numPr>
          <w:ilvl w:val="0"/>
          <w:numId w:val="19"/>
        </w:numPr>
      </w:pPr>
      <w:r>
        <w:t>Strong push for virtual/hybrid access to underserved areas.</w:t>
      </w:r>
    </w:p>
    <w:p w14:paraId="6E48E4F5" w14:textId="77777777" w:rsidR="00B36E10" w:rsidRDefault="00B36E10" w:rsidP="00B36E10">
      <w:pPr>
        <w:pStyle w:val="Compact"/>
        <w:numPr>
          <w:ilvl w:val="0"/>
          <w:numId w:val="19"/>
        </w:numPr>
      </w:pPr>
      <w:r>
        <w:t>Opportunities exist for fire service leaders to become leaders, especially in high-demand ICS and sheltering courses.</w:t>
      </w:r>
    </w:p>
    <w:p w14:paraId="7D8480B6" w14:textId="44822421" w:rsidR="00B36E10" w:rsidRDefault="00B36E10" w:rsidP="00B36E10">
      <w:pPr>
        <w:pStyle w:val="Compact"/>
        <w:numPr>
          <w:ilvl w:val="0"/>
          <w:numId w:val="19"/>
        </w:numPr>
      </w:pPr>
      <w:r>
        <w:t xml:space="preserve">Action: Continue monitoring </w:t>
      </w:r>
      <w:r w:rsidR="00DB665F">
        <w:t>SERT TRAC</w:t>
      </w:r>
      <w:r>
        <w:t xml:space="preserve"> postings and encourage staff participation.</w:t>
      </w:r>
    </w:p>
    <w:p w14:paraId="281AF386" w14:textId="77777777" w:rsidR="008C0D7C" w:rsidRDefault="008C0D7C" w:rsidP="008C0D7C">
      <w:pPr>
        <w:pStyle w:val="Compact"/>
        <w:numPr>
          <w:ilvl w:val="0"/>
          <w:numId w:val="19"/>
        </w:numPr>
      </w:pPr>
      <w:r>
        <w:t>10/6 Cost Estimation FROC course in Tamarac.</w:t>
      </w:r>
    </w:p>
    <w:p w14:paraId="5F4AD41B" w14:textId="3ACEDC04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>Topic 3: FEMA Damage Assessment Changes (Carla</w:t>
      </w:r>
      <w:r w:rsidR="004D2D6B">
        <w:rPr>
          <w:b/>
          <w:bCs/>
        </w:rPr>
        <w:t xml:space="preserve"> with BOEM</w:t>
      </w:r>
      <w:r>
        <w:rPr>
          <w:b/>
          <w:bCs/>
        </w:rPr>
        <w:t>)</w:t>
      </w:r>
    </w:p>
    <w:p w14:paraId="54B7F1BD" w14:textId="78742882" w:rsidR="00B36E10" w:rsidRDefault="00B36E10" w:rsidP="00B36E10">
      <w:pPr>
        <w:pStyle w:val="Compact"/>
        <w:numPr>
          <w:ilvl w:val="0"/>
          <w:numId w:val="19"/>
        </w:numPr>
      </w:pPr>
      <w:r>
        <w:t>New</w:t>
      </w:r>
      <w:r w:rsidR="004D2D6B">
        <w:t xml:space="preserve"> damage</w:t>
      </w:r>
      <w:r>
        <w:t xml:space="preserve"> assessment </w:t>
      </w:r>
      <w:r w:rsidR="004D2D6B">
        <w:t xml:space="preserve">protocols </w:t>
      </w:r>
      <w:r>
        <w:t>effective July 1st; local jurisdictions are now solely responsible for identifying damage, as FEMA will not identify it.</w:t>
      </w:r>
    </w:p>
    <w:p w14:paraId="2FC1C903" w14:textId="77777777" w:rsidR="00B36E10" w:rsidRDefault="00B36E10" w:rsidP="00B36E10">
      <w:pPr>
        <w:pStyle w:val="Compact"/>
        <w:numPr>
          <w:ilvl w:val="0"/>
          <w:numId w:val="19"/>
        </w:numPr>
      </w:pPr>
      <w:r>
        <w:t>FEMA will validate with supporting documentation; increased emphasis on accurate reporting.</w:t>
      </w:r>
    </w:p>
    <w:p w14:paraId="38493A67" w14:textId="77777777" w:rsidR="00B36E10" w:rsidRDefault="00B36E10" w:rsidP="00B36E10">
      <w:pPr>
        <w:pStyle w:val="Compact"/>
        <w:numPr>
          <w:ilvl w:val="0"/>
          <w:numId w:val="19"/>
        </w:numPr>
      </w:pPr>
      <w:r>
        <w:t>Clarification of damage levels by housing type, broken into two categories.</w:t>
      </w:r>
    </w:p>
    <w:p w14:paraId="6C5251BD" w14:textId="1B42EFA6" w:rsidR="00B36E10" w:rsidRDefault="00B36E10" w:rsidP="00B36E10">
      <w:pPr>
        <w:pStyle w:val="Compact"/>
        <w:numPr>
          <w:ilvl w:val="0"/>
          <w:numId w:val="19"/>
        </w:numPr>
      </w:pPr>
      <w:r>
        <w:t>Regular training is recommended.</w:t>
      </w:r>
    </w:p>
    <w:p w14:paraId="2D16B513" w14:textId="4B862800" w:rsidR="00B36E10" w:rsidRDefault="00B36E10" w:rsidP="00B36E10">
      <w:pPr>
        <w:pStyle w:val="Compact"/>
        <w:numPr>
          <w:ilvl w:val="0"/>
          <w:numId w:val="19"/>
        </w:numPr>
      </w:pPr>
      <w:r>
        <w:t xml:space="preserve">Action: Ensure local teams are prepared for new </w:t>
      </w:r>
      <w:r w:rsidR="00677A9E">
        <w:t xml:space="preserve">damage </w:t>
      </w:r>
      <w:r>
        <w:t>assessment protocols.</w:t>
      </w:r>
    </w:p>
    <w:p w14:paraId="5B2D65A7" w14:textId="77777777" w:rsidR="00B36E10" w:rsidRDefault="00B36E10" w:rsidP="00B36E10">
      <w:pPr>
        <w:pStyle w:val="Compact"/>
        <w:ind w:left="720"/>
      </w:pPr>
      <w:r>
        <w:lastRenderedPageBreak/>
        <w:br/>
      </w:r>
      <w:r>
        <w:rPr>
          <w:b/>
          <w:bCs/>
        </w:rPr>
        <w:t>Topic 4: Public Health Update (Department of Health)</w:t>
      </w:r>
    </w:p>
    <w:p w14:paraId="77A1AA01" w14:textId="77777777" w:rsidR="00B36E10" w:rsidRDefault="00B36E10" w:rsidP="00B36E10">
      <w:pPr>
        <w:pStyle w:val="Compact"/>
        <w:numPr>
          <w:ilvl w:val="0"/>
          <w:numId w:val="19"/>
        </w:numPr>
      </w:pPr>
      <w:r>
        <w:t>Chikungunya virus observed in China, Brazil, and Cuba; transmitted by the Aedes aegypti mosquito, which is a daytime biter.</w:t>
      </w:r>
    </w:p>
    <w:p w14:paraId="1003EF9D" w14:textId="77777777" w:rsidR="00B36E10" w:rsidRDefault="00B36E10" w:rsidP="00B36E10">
      <w:pPr>
        <w:pStyle w:val="Compact"/>
        <w:numPr>
          <w:ilvl w:val="0"/>
          <w:numId w:val="19"/>
        </w:numPr>
      </w:pPr>
      <w:r>
        <w:t>No local cases of mosquito-borne illness currently; reminder to drain standing water.</w:t>
      </w:r>
    </w:p>
    <w:p w14:paraId="020C0845" w14:textId="77777777" w:rsidR="00B36E10" w:rsidRDefault="00B36E10" w:rsidP="00B36E10">
      <w:pPr>
        <w:pStyle w:val="Compact"/>
        <w:numPr>
          <w:ilvl w:val="0"/>
          <w:numId w:val="19"/>
        </w:numPr>
      </w:pPr>
      <w:r>
        <w:t>Respiratory illnesses and COVID: stable, no significant increase week over week.</w:t>
      </w:r>
    </w:p>
    <w:p w14:paraId="22A5F551" w14:textId="77777777" w:rsidR="00B36E10" w:rsidRDefault="00B36E10" w:rsidP="00B36E10">
      <w:pPr>
        <w:pStyle w:val="Compact"/>
        <w:numPr>
          <w:ilvl w:val="0"/>
          <w:numId w:val="19"/>
        </w:numPr>
      </w:pPr>
      <w:r>
        <w:t>Several cases of pertussis (whooping cough) are being seen, which is a vaccine-preventable illness.</w:t>
      </w:r>
    </w:p>
    <w:p w14:paraId="53C0EB62" w14:textId="77777777" w:rsidR="00B36E10" w:rsidRDefault="00B36E10" w:rsidP="00B36E10">
      <w:pPr>
        <w:pStyle w:val="Compact"/>
        <w:numPr>
          <w:ilvl w:val="0"/>
          <w:numId w:val="19"/>
        </w:numPr>
      </w:pPr>
      <w:r>
        <w:t>Vaccine reminders for first responders (flu, tetanus, pertussis); recommended to be vaccinated before a storm rather than during.</w:t>
      </w:r>
    </w:p>
    <w:p w14:paraId="2B12FFF8" w14:textId="4044D3CB" w:rsidR="00B36E10" w:rsidRDefault="00B36E10" w:rsidP="00B36E10">
      <w:pPr>
        <w:pStyle w:val="Compact"/>
        <w:numPr>
          <w:ilvl w:val="0"/>
          <w:numId w:val="19"/>
        </w:numPr>
      </w:pPr>
      <w:r>
        <w:t>Hurricane season update: currently quiet in the tropics.</w:t>
      </w:r>
    </w:p>
    <w:p w14:paraId="12F2A01E" w14:textId="77777777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>Topic 5: Grainger Emergency Management Capabilities (Eric Pena)</w:t>
      </w:r>
    </w:p>
    <w:p w14:paraId="00F55C45" w14:textId="77777777" w:rsidR="00B36E10" w:rsidRDefault="00B36E10" w:rsidP="00B36E10">
      <w:pPr>
        <w:pStyle w:val="Compact"/>
        <w:numPr>
          <w:ilvl w:val="0"/>
          <w:numId w:val="19"/>
        </w:numPr>
      </w:pPr>
      <w:r>
        <w:t>Grainger offers more than basic supplies, supporting emergency management through all four pillars: mitigation, preparedness, response, and recovery.</w:t>
      </w:r>
    </w:p>
    <w:p w14:paraId="5FE16D79" w14:textId="77777777" w:rsidR="00B36E10" w:rsidRDefault="00B36E10" w:rsidP="00B36E10">
      <w:pPr>
        <w:pStyle w:val="Compact"/>
        <w:numPr>
          <w:ilvl w:val="0"/>
          <w:numId w:val="19"/>
        </w:numPr>
      </w:pPr>
      <w:r>
        <w:t>Grainger, a Fortune 500 company, follows an emergency management model that is second to none, aligning with city, county, or municipality guidelines.</w:t>
      </w:r>
    </w:p>
    <w:p w14:paraId="6631B3D1" w14:textId="77777777" w:rsidR="00B36E10" w:rsidRDefault="00B36E10" w:rsidP="00B36E10">
      <w:pPr>
        <w:pStyle w:val="Compact"/>
        <w:numPr>
          <w:ilvl w:val="0"/>
          <w:numId w:val="19"/>
        </w:numPr>
      </w:pPr>
      <w:r>
        <w:t>They aim to fill capability gaps identified through annual assessments (HVAs, AARs).</w:t>
      </w:r>
    </w:p>
    <w:p w14:paraId="1BCC3DB5" w14:textId="77777777" w:rsidR="00B36E10" w:rsidRDefault="00B36E10" w:rsidP="00B36E10">
      <w:pPr>
        <w:pStyle w:val="Compact"/>
        <w:numPr>
          <w:ilvl w:val="0"/>
          <w:numId w:val="19"/>
        </w:numPr>
      </w:pPr>
      <w:r>
        <w:t>Multilayered approach includes internal training, stockpile planning, a corporate response team, national distribution, 24-hour support, and on-site EOC support.</w:t>
      </w:r>
    </w:p>
    <w:p w14:paraId="056807FF" w14:textId="77777777" w:rsidR="00B36E10" w:rsidRDefault="00B36E10" w:rsidP="00B36E10">
      <w:pPr>
        <w:pStyle w:val="Compact"/>
        <w:numPr>
          <w:ilvl w:val="0"/>
          <w:numId w:val="19"/>
        </w:numPr>
      </w:pPr>
      <w:r>
        <w:t>Partnership model provides pre- and post-disaster support, supply chain management, and equipment provision for drills/exercises.</w:t>
      </w:r>
    </w:p>
    <w:p w14:paraId="030780CE" w14:textId="77777777" w:rsidR="00B36E10" w:rsidRDefault="00B36E10" w:rsidP="00B36E10">
      <w:pPr>
        <w:pStyle w:val="Compact"/>
        <w:numPr>
          <w:ilvl w:val="0"/>
          <w:numId w:val="19"/>
        </w:numPr>
      </w:pPr>
      <w:r>
        <w:t>Grainger has an incident and emergency management team that stands up activation levels (one, two, and three), with subject matter experts available to understand specific needs and terminology.</w:t>
      </w:r>
    </w:p>
    <w:p w14:paraId="51E51708" w14:textId="77777777" w:rsidR="00B36E10" w:rsidRDefault="00B36E10" w:rsidP="00B36E10">
      <w:pPr>
        <w:pStyle w:val="Compact"/>
        <w:numPr>
          <w:ilvl w:val="0"/>
          <w:numId w:val="19"/>
        </w:numPr>
      </w:pPr>
      <w:r>
        <w:t>They offer a four-hour service, inventory assessment (</w:t>
      </w:r>
      <w:proofErr w:type="spellStart"/>
      <w:r>
        <w:t>KeepStock</w:t>
      </w:r>
      <w:proofErr w:type="spellEnd"/>
      <w:r>
        <w:t>), and streamlined procurement via existing contracts.</w:t>
      </w:r>
    </w:p>
    <w:p w14:paraId="5CB17096" w14:textId="77777777" w:rsidR="00B36E10" w:rsidRDefault="00B36E10" w:rsidP="00B36E10">
      <w:pPr>
        <w:pStyle w:val="Compact"/>
        <w:numPr>
          <w:ilvl w:val="0"/>
          <w:numId w:val="19"/>
        </w:numPr>
      </w:pPr>
      <w:r>
        <w:t>Grainger can be integrated into EOCs, situational reports, and event action plans (EAPs/IEPs), as demonstrated by support for events like the Tortuga Festival in Fort Lauderdale.</w:t>
      </w:r>
    </w:p>
    <w:p w14:paraId="1E3923CE" w14:textId="77777777" w:rsidR="00B36E10" w:rsidRDefault="00B36E10" w:rsidP="00B36E10">
      <w:pPr>
        <w:pStyle w:val="Compact"/>
        <w:numPr>
          <w:ilvl w:val="0"/>
          <w:numId w:val="19"/>
        </w:numPr>
      </w:pPr>
      <w:r>
        <w:t>Digital catalogs and landing pages provide inventory options, and an app is available for self-service ordering.</w:t>
      </w:r>
    </w:p>
    <w:p w14:paraId="111F4C3D" w14:textId="77777777" w:rsidR="00B36E10" w:rsidRDefault="00B36E10" w:rsidP="00B36E10">
      <w:pPr>
        <w:pStyle w:val="Compact"/>
        <w:numPr>
          <w:ilvl w:val="0"/>
          <w:numId w:val="19"/>
        </w:numPr>
      </w:pPr>
      <w:r>
        <w:t>They can provide a wide range of products, including MCI equipment, stop and feed kits, mass bleed kits, barricades, cones, traffic direction supplies, and four-gas detectors.</w:t>
      </w:r>
    </w:p>
    <w:p w14:paraId="78BC6EB0" w14:textId="77777777" w:rsidR="00B36E10" w:rsidRDefault="00B36E10" w:rsidP="00B36E10">
      <w:pPr>
        <w:pStyle w:val="Compact"/>
        <w:numPr>
          <w:ilvl w:val="0"/>
          <w:numId w:val="19"/>
        </w:numPr>
      </w:pPr>
      <w:r>
        <w:t>Support extends to critical infrastructure, flood protection (e.g., flood walls), and maintenance operations for engineering departments, plant ops, parks and recs, and municipal buildings.</w:t>
      </w:r>
    </w:p>
    <w:p w14:paraId="6FEF4E6B" w14:textId="7A65A229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>Topic 6: Communications &amp; Elections (</w:t>
      </w:r>
      <w:r w:rsidR="001D2409">
        <w:rPr>
          <w:b/>
          <w:bCs/>
        </w:rPr>
        <w:t>K</w:t>
      </w:r>
      <w:r>
        <w:rPr>
          <w:b/>
          <w:bCs/>
        </w:rPr>
        <w:t>rystal Aaron/ECC</w:t>
      </w:r>
      <w:r w:rsidR="001D2409">
        <w:rPr>
          <w:b/>
          <w:bCs/>
        </w:rPr>
        <w:t xml:space="preserve"> Chair</w:t>
      </w:r>
      <w:r>
        <w:rPr>
          <w:b/>
          <w:bCs/>
        </w:rPr>
        <w:t>)</w:t>
      </w:r>
    </w:p>
    <w:p w14:paraId="4AA06212" w14:textId="4950AF2C" w:rsidR="00B36E10" w:rsidRDefault="00B36E10" w:rsidP="00B36E10">
      <w:pPr>
        <w:pStyle w:val="Compact"/>
        <w:numPr>
          <w:ilvl w:val="0"/>
          <w:numId w:val="19"/>
        </w:numPr>
      </w:pPr>
      <w:r>
        <w:t xml:space="preserve">Ensure all participants receive ECC emails; contact </w:t>
      </w:r>
      <w:r w:rsidR="001D2409">
        <w:t>K</w:t>
      </w:r>
      <w:r>
        <w:t>rystal or Josh if not receiving.</w:t>
      </w:r>
    </w:p>
    <w:p w14:paraId="43FA1689" w14:textId="13DFCF13" w:rsidR="00E01D88" w:rsidRDefault="00B36E10" w:rsidP="00E01D88">
      <w:pPr>
        <w:pStyle w:val="Compact"/>
        <w:numPr>
          <w:ilvl w:val="0"/>
          <w:numId w:val="19"/>
        </w:numPr>
      </w:pPr>
      <w:r>
        <w:t xml:space="preserve">Upcoming elections in November: </w:t>
      </w:r>
      <w:r w:rsidR="001D2409">
        <w:t>S</w:t>
      </w:r>
      <w:r>
        <w:t xml:space="preserve">ecretary and </w:t>
      </w:r>
      <w:r w:rsidR="001D2409">
        <w:t>V</w:t>
      </w:r>
      <w:r>
        <w:t xml:space="preserve">ice </w:t>
      </w:r>
      <w:r w:rsidR="001D2409">
        <w:t>C</w:t>
      </w:r>
      <w:r>
        <w:t>hair positions are open; participation is encouraged as there is much to do at the November meeting.</w:t>
      </w:r>
      <w:r w:rsidR="00E01D88">
        <w:t xml:space="preserve"> Nov meeting will include a Potluck food/drink. </w:t>
      </w:r>
    </w:p>
    <w:p w14:paraId="0C17C946" w14:textId="7645782E" w:rsidR="00397D5E" w:rsidRDefault="00397D5E" w:rsidP="00E01D88">
      <w:pPr>
        <w:pStyle w:val="Compact"/>
        <w:numPr>
          <w:ilvl w:val="0"/>
          <w:numId w:val="19"/>
        </w:numPr>
      </w:pPr>
      <w:r>
        <w:t>FDEM Director Kevin Guthrie scheduled to speak</w:t>
      </w:r>
    </w:p>
    <w:p w14:paraId="5D20A54A" w14:textId="03EF7172" w:rsidR="00B36E10" w:rsidRDefault="00B36E10" w:rsidP="00B36E10">
      <w:pPr>
        <w:pStyle w:val="Compact"/>
        <w:numPr>
          <w:ilvl w:val="0"/>
          <w:numId w:val="19"/>
        </w:numPr>
      </w:pPr>
      <w:r>
        <w:t>Action: Confirm attendance for November meeting and readiness for elections.</w:t>
      </w:r>
      <w:r w:rsidR="00397D5E">
        <w:t xml:space="preserve"> </w:t>
      </w:r>
    </w:p>
    <w:p w14:paraId="4871E0F9" w14:textId="77777777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 xml:space="preserve">Topic 7: </w:t>
      </w:r>
      <w:proofErr w:type="spellStart"/>
      <w:r>
        <w:rPr>
          <w:b/>
          <w:bCs/>
        </w:rPr>
        <w:t>Starlink</w:t>
      </w:r>
      <w:proofErr w:type="spellEnd"/>
      <w:r>
        <w:rPr>
          <w:b/>
          <w:bCs/>
        </w:rPr>
        <w:t xml:space="preserve"> Account Changes (Chris)</w:t>
      </w:r>
    </w:p>
    <w:p w14:paraId="53D0892C" w14:textId="7915B2F7" w:rsidR="00B36E10" w:rsidRDefault="00B36E10" w:rsidP="00B36E10">
      <w:pPr>
        <w:pStyle w:val="Compact"/>
        <w:numPr>
          <w:ilvl w:val="0"/>
          <w:numId w:val="19"/>
        </w:numPr>
      </w:pPr>
      <w:proofErr w:type="spellStart"/>
      <w:r>
        <w:t>Starlink</w:t>
      </w:r>
      <w:proofErr w:type="spellEnd"/>
      <w:r>
        <w:t xml:space="preserve"> accounts now require a $5 monthly fee, effective with a deadline of the 13th of next month</w:t>
      </w:r>
      <w:r w:rsidR="003803FC">
        <w:t xml:space="preserve"> (to maintain standby mode)</w:t>
      </w:r>
    </w:p>
    <w:p w14:paraId="022B393A" w14:textId="77777777" w:rsidR="00B36E10" w:rsidRDefault="00B36E10" w:rsidP="00B36E10">
      <w:pPr>
        <w:pStyle w:val="Compact"/>
        <w:numPr>
          <w:ilvl w:val="0"/>
          <w:numId w:val="19"/>
        </w:numPr>
      </w:pPr>
      <w:r>
        <w:lastRenderedPageBreak/>
        <w:t>Alternative connectivity options are available, such as KVH out of Davie; contact Chris for details and opportunities to discuss options.</w:t>
      </w:r>
    </w:p>
    <w:p w14:paraId="4F3F0A2F" w14:textId="77777777" w:rsidR="00B36E10" w:rsidRDefault="00B36E10" w:rsidP="00B36E10">
      <w:pPr>
        <w:pStyle w:val="Compact"/>
        <w:numPr>
          <w:ilvl w:val="0"/>
          <w:numId w:val="19"/>
        </w:numPr>
      </w:pPr>
      <w:r>
        <w:t xml:space="preserve">Action: Review </w:t>
      </w:r>
      <w:proofErr w:type="spellStart"/>
      <w:r>
        <w:t>Starlink</w:t>
      </w:r>
      <w:proofErr w:type="spellEnd"/>
      <w:r>
        <w:t xml:space="preserve"> accounts and consider alternatives as needed.</w:t>
      </w:r>
    </w:p>
    <w:p w14:paraId="40769C0C" w14:textId="77777777" w:rsidR="00B36E10" w:rsidRDefault="00B36E10" w:rsidP="00B36E10">
      <w:pPr>
        <w:pStyle w:val="Compact"/>
        <w:ind w:left="720"/>
      </w:pPr>
      <w:r>
        <w:br/>
      </w:r>
      <w:r>
        <w:rPr>
          <w:b/>
          <w:bCs/>
        </w:rPr>
        <w:t>Topic 8: Jurisdictional Updates &amp; Announcements</w:t>
      </w:r>
    </w:p>
    <w:p w14:paraId="214D4337" w14:textId="77777777" w:rsidR="00B36E10" w:rsidRDefault="00B36E10" w:rsidP="00B36E10">
      <w:pPr>
        <w:pStyle w:val="Compact"/>
        <w:ind w:left="720"/>
      </w:pPr>
    </w:p>
    <w:p w14:paraId="2C185A11" w14:textId="77777777" w:rsidR="00B36E10" w:rsidRDefault="00B36E10" w:rsidP="00B36E10">
      <w:pPr>
        <w:pStyle w:val="Compact"/>
        <w:numPr>
          <w:ilvl w:val="0"/>
          <w:numId w:val="19"/>
        </w:numPr>
      </w:pPr>
      <w:r>
        <w:t>Updates from various cities and departments were shared, including the retirement of the Tamarac Fire Chief on September 26th.</w:t>
      </w:r>
    </w:p>
    <w:p w14:paraId="1F01283B" w14:textId="77777777" w:rsidR="00A12F20" w:rsidRPr="00A12F20" w:rsidRDefault="00A12F20" w:rsidP="00A12F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A12F2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Universities – Nova (license plate recognition)</w:t>
      </w:r>
    </w:p>
    <w:p w14:paraId="4A3BF2E0" w14:textId="138BDAE1" w:rsidR="004C2FAC" w:rsidRDefault="004C2FAC" w:rsidP="00B36E10">
      <w:pPr>
        <w:pStyle w:val="Compact"/>
        <w:numPr>
          <w:ilvl w:val="0"/>
          <w:numId w:val="19"/>
        </w:numPr>
      </w:pPr>
      <w:r>
        <w:t xml:space="preserve">FDEM Historical Recognition was discussed for Phase I positions. </w:t>
      </w:r>
    </w:p>
    <w:p w14:paraId="3D4403C9" w14:textId="245E219B" w:rsidR="00B36E10" w:rsidRDefault="00B36E10" w:rsidP="00B36E10">
      <w:pPr>
        <w:pStyle w:val="Compact"/>
        <w:numPr>
          <w:ilvl w:val="0"/>
          <w:numId w:val="19"/>
        </w:numPr>
      </w:pPr>
      <w:r>
        <w:t>An invitation was extended for presentations on new bills or sheltering systems, and a presentation was given at the CERT conference in Cape Coral.</w:t>
      </w:r>
    </w:p>
    <w:p w14:paraId="3610FE52" w14:textId="36FA8803" w:rsidR="004C2FAC" w:rsidRPr="004C2FAC" w:rsidRDefault="004C2FAC" w:rsidP="004C2FA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Next </w:t>
      </w: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RDSTF (Natasha </w:t>
      </w:r>
      <w:proofErr w:type="spellStart"/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Strokin</w:t>
      </w:r>
      <w:proofErr w:type="spellEnd"/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)</w:t>
      </w: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Oct 28th </w:t>
      </w: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in</w:t>
      </w: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 Broward </w:t>
      </w:r>
    </w:p>
    <w:p w14:paraId="44F95B2B" w14:textId="5A1B279C" w:rsidR="004C2FAC" w:rsidRDefault="004C2FAC" w:rsidP="004C2FA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4C2FAC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UASI templates 10/15 deadline projects </w:t>
      </w:r>
    </w:p>
    <w:p w14:paraId="1DCD7F52" w14:textId="77777777" w:rsidR="00F56B00" w:rsidRDefault="00F56B00" w:rsidP="00F56B0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Broward Public Schools:</w:t>
      </w:r>
    </w:p>
    <w:p w14:paraId="04370D29" w14:textId="7EB917A8" w:rsidR="00F56B00" w:rsidRPr="00F56B00" w:rsidRDefault="00F56B00" w:rsidP="00F56B00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2 shelters – closed for remodeling monarch &amp; plantation middle (</w:t>
      </w:r>
      <w:proofErr w:type="spellStart"/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floranda</w:t>
      </w:r>
      <w:proofErr w:type="spellEnd"/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 closed permanently)  </w:t>
      </w:r>
    </w:p>
    <w:p w14:paraId="4F007DD0" w14:textId="77777777" w:rsidR="00F56B00" w:rsidRPr="00F56B00" w:rsidRDefault="00F56B00" w:rsidP="00F56B00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Michael </w:t>
      </w:r>
      <w:proofErr w:type="spellStart"/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Ledry</w:t>
      </w:r>
      <w:proofErr w:type="spellEnd"/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 – new Safety Chief </w:t>
      </w:r>
    </w:p>
    <w:p w14:paraId="60E77CF0" w14:textId="77777777" w:rsidR="00F56B00" w:rsidRPr="00F56B00" w:rsidRDefault="00F56B00" w:rsidP="00F56B00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Stop the bleed kits w/every AED</w:t>
      </w:r>
    </w:p>
    <w:p w14:paraId="5ECB8355" w14:textId="2BB0DE01" w:rsidR="00F56B00" w:rsidRPr="004C2FAC" w:rsidRDefault="00F56B00" w:rsidP="00CE75B8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F56B00"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  <w:t>New Campaign stop human trafficking</w:t>
      </w:r>
    </w:p>
    <w:p w14:paraId="7552060A" w14:textId="2B47946E" w:rsidR="00B36E10" w:rsidRDefault="00B36E10" w:rsidP="00B36E10">
      <w:pPr>
        <w:pStyle w:val="Compact"/>
        <w:numPr>
          <w:ilvl w:val="0"/>
          <w:numId w:val="19"/>
        </w:numPr>
      </w:pPr>
      <w:r>
        <w:t>Reminder of next meeting: September 24th.</w:t>
      </w:r>
    </w:p>
    <w:p w14:paraId="3A2DCDF0" w14:textId="77777777" w:rsidR="00756448" w:rsidRDefault="00756448" w:rsidP="00756448">
      <w:pPr>
        <w:pStyle w:val="Compact"/>
      </w:pPr>
    </w:p>
    <w:p w14:paraId="286A2AE5" w14:textId="77777777" w:rsidR="00756448" w:rsidRDefault="00756448" w:rsidP="00756448">
      <w:pPr>
        <w:pStyle w:val="Compact"/>
      </w:pPr>
    </w:p>
    <w:p w14:paraId="74160A5D" w14:textId="0A42314E" w:rsidR="00756448" w:rsidRDefault="00756448" w:rsidP="00756448">
      <w:pPr>
        <w:pStyle w:val="Compact"/>
      </w:pPr>
      <w:r>
        <w:t>**Notes assistance from AI.</w:t>
      </w:r>
    </w:p>
    <w:p w14:paraId="09378692" w14:textId="77777777" w:rsidR="00B36E10" w:rsidRPr="00117BC4" w:rsidRDefault="00B36E10" w:rsidP="00117BC4">
      <w:pPr>
        <w:spacing w:after="0" w:line="240" w:lineRule="auto"/>
        <w:rPr>
          <w:rFonts w:ascii="Arial" w:hAnsi="Arial" w:cs="Arial"/>
          <w:b/>
          <w:bCs/>
        </w:rPr>
      </w:pPr>
    </w:p>
    <w:sectPr w:rsidR="00B36E10" w:rsidRPr="00117BC4" w:rsidSect="000C4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FA0AE3C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9046F"/>
    <w:multiLevelType w:val="hybridMultilevel"/>
    <w:tmpl w:val="710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594"/>
    <w:multiLevelType w:val="hybridMultilevel"/>
    <w:tmpl w:val="7126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469D"/>
    <w:multiLevelType w:val="hybridMultilevel"/>
    <w:tmpl w:val="15027430"/>
    <w:lvl w:ilvl="0" w:tplc="29505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820"/>
    <w:multiLevelType w:val="hybridMultilevel"/>
    <w:tmpl w:val="8DA6C382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1141F"/>
    <w:multiLevelType w:val="hybridMultilevel"/>
    <w:tmpl w:val="2C2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25626"/>
    <w:multiLevelType w:val="hybridMultilevel"/>
    <w:tmpl w:val="39889B4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7A9D"/>
    <w:multiLevelType w:val="hybridMultilevel"/>
    <w:tmpl w:val="39A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16D59"/>
    <w:multiLevelType w:val="hybridMultilevel"/>
    <w:tmpl w:val="9518588A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02CB9"/>
    <w:multiLevelType w:val="hybridMultilevel"/>
    <w:tmpl w:val="FBF2159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67265"/>
    <w:multiLevelType w:val="hybridMultilevel"/>
    <w:tmpl w:val="9980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9264F"/>
    <w:multiLevelType w:val="hybridMultilevel"/>
    <w:tmpl w:val="FF5291AA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6EC5"/>
    <w:multiLevelType w:val="hybridMultilevel"/>
    <w:tmpl w:val="4A40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B2466"/>
    <w:multiLevelType w:val="hybridMultilevel"/>
    <w:tmpl w:val="085C1F72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D663E"/>
    <w:multiLevelType w:val="hybridMultilevel"/>
    <w:tmpl w:val="92CE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977AF"/>
    <w:multiLevelType w:val="hybridMultilevel"/>
    <w:tmpl w:val="A148C6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A00613"/>
    <w:multiLevelType w:val="hybridMultilevel"/>
    <w:tmpl w:val="1C72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F31437"/>
    <w:multiLevelType w:val="hybridMultilevel"/>
    <w:tmpl w:val="6FCECDFE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B250C"/>
    <w:multiLevelType w:val="hybridMultilevel"/>
    <w:tmpl w:val="F18E6232"/>
    <w:lvl w:ilvl="0" w:tplc="041E5E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16"/>
  </w:num>
  <w:num w:numId="10">
    <w:abstractNumId w:val="7"/>
  </w:num>
  <w:num w:numId="11">
    <w:abstractNumId w:val="15"/>
  </w:num>
  <w:num w:numId="12">
    <w:abstractNumId w:val="10"/>
  </w:num>
  <w:num w:numId="13">
    <w:abstractNumId w:val="12"/>
  </w:num>
  <w:num w:numId="14">
    <w:abstractNumId w:val="5"/>
  </w:num>
  <w:num w:numId="15">
    <w:abstractNumId w:val="2"/>
  </w:num>
  <w:num w:numId="16">
    <w:abstractNumId w:val="11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A"/>
    <w:rsid w:val="0000133E"/>
    <w:rsid w:val="0002105F"/>
    <w:rsid w:val="00036589"/>
    <w:rsid w:val="0003697C"/>
    <w:rsid w:val="00036CB9"/>
    <w:rsid w:val="00037692"/>
    <w:rsid w:val="00054415"/>
    <w:rsid w:val="00056C41"/>
    <w:rsid w:val="00087634"/>
    <w:rsid w:val="000A0BB9"/>
    <w:rsid w:val="000C42AE"/>
    <w:rsid w:val="00117BC4"/>
    <w:rsid w:val="0015209A"/>
    <w:rsid w:val="001627BC"/>
    <w:rsid w:val="00166106"/>
    <w:rsid w:val="001C4490"/>
    <w:rsid w:val="001D2409"/>
    <w:rsid w:val="001E2B26"/>
    <w:rsid w:val="00202B32"/>
    <w:rsid w:val="0020310E"/>
    <w:rsid w:val="00206190"/>
    <w:rsid w:val="0022422B"/>
    <w:rsid w:val="00255038"/>
    <w:rsid w:val="00261E5B"/>
    <w:rsid w:val="002715FF"/>
    <w:rsid w:val="002B0695"/>
    <w:rsid w:val="002B48BD"/>
    <w:rsid w:val="002C0C38"/>
    <w:rsid w:val="002D6E1D"/>
    <w:rsid w:val="002E0D83"/>
    <w:rsid w:val="002E2100"/>
    <w:rsid w:val="002F7259"/>
    <w:rsid w:val="003265A7"/>
    <w:rsid w:val="0035197B"/>
    <w:rsid w:val="00361B89"/>
    <w:rsid w:val="0036599D"/>
    <w:rsid w:val="00370B4A"/>
    <w:rsid w:val="003803FC"/>
    <w:rsid w:val="00382F94"/>
    <w:rsid w:val="00396967"/>
    <w:rsid w:val="00397D5E"/>
    <w:rsid w:val="003A1317"/>
    <w:rsid w:val="003D26FA"/>
    <w:rsid w:val="003D6713"/>
    <w:rsid w:val="003E01B0"/>
    <w:rsid w:val="004018D4"/>
    <w:rsid w:val="0044239E"/>
    <w:rsid w:val="00480029"/>
    <w:rsid w:val="00485177"/>
    <w:rsid w:val="004A7764"/>
    <w:rsid w:val="004B57DF"/>
    <w:rsid w:val="004C2FAC"/>
    <w:rsid w:val="004C79A7"/>
    <w:rsid w:val="004D2D6B"/>
    <w:rsid w:val="0051427F"/>
    <w:rsid w:val="00524AA5"/>
    <w:rsid w:val="005535FC"/>
    <w:rsid w:val="0058199A"/>
    <w:rsid w:val="005A7A07"/>
    <w:rsid w:val="005A7EA4"/>
    <w:rsid w:val="005C3ACA"/>
    <w:rsid w:val="005C3DEF"/>
    <w:rsid w:val="005C5F49"/>
    <w:rsid w:val="005D6E03"/>
    <w:rsid w:val="005E4060"/>
    <w:rsid w:val="005F459F"/>
    <w:rsid w:val="00611CFC"/>
    <w:rsid w:val="00611F2D"/>
    <w:rsid w:val="00631E1A"/>
    <w:rsid w:val="00633286"/>
    <w:rsid w:val="0065734A"/>
    <w:rsid w:val="00673261"/>
    <w:rsid w:val="00677A9E"/>
    <w:rsid w:val="0068471A"/>
    <w:rsid w:val="0069598A"/>
    <w:rsid w:val="006E0C22"/>
    <w:rsid w:val="0070730B"/>
    <w:rsid w:val="0071583D"/>
    <w:rsid w:val="00715C5A"/>
    <w:rsid w:val="007221A1"/>
    <w:rsid w:val="00753197"/>
    <w:rsid w:val="00756448"/>
    <w:rsid w:val="007B79C5"/>
    <w:rsid w:val="007D720F"/>
    <w:rsid w:val="007E4D46"/>
    <w:rsid w:val="00841C25"/>
    <w:rsid w:val="0084402A"/>
    <w:rsid w:val="00857CCD"/>
    <w:rsid w:val="00877F26"/>
    <w:rsid w:val="008827E5"/>
    <w:rsid w:val="00894EFF"/>
    <w:rsid w:val="008C0D7C"/>
    <w:rsid w:val="008D0BCD"/>
    <w:rsid w:val="008D6F20"/>
    <w:rsid w:val="008E594F"/>
    <w:rsid w:val="008F25C7"/>
    <w:rsid w:val="009021D2"/>
    <w:rsid w:val="00951663"/>
    <w:rsid w:val="0098219D"/>
    <w:rsid w:val="00984B53"/>
    <w:rsid w:val="00992084"/>
    <w:rsid w:val="009A45A6"/>
    <w:rsid w:val="009A472A"/>
    <w:rsid w:val="00A10C89"/>
    <w:rsid w:val="00A12F20"/>
    <w:rsid w:val="00A25066"/>
    <w:rsid w:val="00A33BFC"/>
    <w:rsid w:val="00A3501B"/>
    <w:rsid w:val="00A61116"/>
    <w:rsid w:val="00A75ED5"/>
    <w:rsid w:val="00A83243"/>
    <w:rsid w:val="00AB05F8"/>
    <w:rsid w:val="00AF1769"/>
    <w:rsid w:val="00AF59ED"/>
    <w:rsid w:val="00B04E97"/>
    <w:rsid w:val="00B07BBC"/>
    <w:rsid w:val="00B368F1"/>
    <w:rsid w:val="00B36E10"/>
    <w:rsid w:val="00B71F2A"/>
    <w:rsid w:val="00BD6CF3"/>
    <w:rsid w:val="00BD6E74"/>
    <w:rsid w:val="00BE17FA"/>
    <w:rsid w:val="00BE4C36"/>
    <w:rsid w:val="00C078B1"/>
    <w:rsid w:val="00C133A5"/>
    <w:rsid w:val="00C26D56"/>
    <w:rsid w:val="00C27A3E"/>
    <w:rsid w:val="00C30A5D"/>
    <w:rsid w:val="00C30C78"/>
    <w:rsid w:val="00C44087"/>
    <w:rsid w:val="00C706A0"/>
    <w:rsid w:val="00C72DD8"/>
    <w:rsid w:val="00C75AA0"/>
    <w:rsid w:val="00C83966"/>
    <w:rsid w:val="00C87B6B"/>
    <w:rsid w:val="00CE0551"/>
    <w:rsid w:val="00CE53C7"/>
    <w:rsid w:val="00CE75B8"/>
    <w:rsid w:val="00CF7F5B"/>
    <w:rsid w:val="00D116AB"/>
    <w:rsid w:val="00D20248"/>
    <w:rsid w:val="00D5246C"/>
    <w:rsid w:val="00DB665F"/>
    <w:rsid w:val="00DD5198"/>
    <w:rsid w:val="00DE2BA6"/>
    <w:rsid w:val="00E01D88"/>
    <w:rsid w:val="00E45B9C"/>
    <w:rsid w:val="00E46F96"/>
    <w:rsid w:val="00E9331C"/>
    <w:rsid w:val="00E93BB0"/>
    <w:rsid w:val="00EA6599"/>
    <w:rsid w:val="00EB5BDF"/>
    <w:rsid w:val="00EC4941"/>
    <w:rsid w:val="00EE0A30"/>
    <w:rsid w:val="00EE18CD"/>
    <w:rsid w:val="00F324B3"/>
    <w:rsid w:val="00F46454"/>
    <w:rsid w:val="00F56B00"/>
    <w:rsid w:val="00F7112C"/>
    <w:rsid w:val="00F75EDC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9DC8"/>
  <w15:chartTrackingRefBased/>
  <w15:docId w15:val="{DAA9B2C8-6C08-4AAF-887A-945B9E5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5A"/>
  </w:style>
  <w:style w:type="paragraph" w:styleId="Heading1">
    <w:name w:val="heading 1"/>
    <w:basedOn w:val="Normal"/>
    <w:next w:val="Normal"/>
    <w:link w:val="Heading1Char"/>
    <w:uiPriority w:val="9"/>
    <w:qFormat/>
    <w:rsid w:val="007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3D"/>
    <w:rPr>
      <w:color w:val="605E5C"/>
      <w:shd w:val="clear" w:color="auto" w:fill="E1DFDD"/>
    </w:rPr>
  </w:style>
  <w:style w:type="paragraph" w:customStyle="1" w:styleId="Default">
    <w:name w:val="Default"/>
    <w:rsid w:val="00F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D8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0D8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209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B36E10"/>
    <w:pPr>
      <w:spacing w:before="240" w:after="180" w:line="240" w:lineRule="auto"/>
    </w:pPr>
    <w:rPr>
      <w:rFonts w:ascii="Arial" w:eastAsia="Arial" w:hAnsi="Arial" w:cs="Arial"/>
      <w:color w:val="000000" w:themeColor="text1"/>
      <w:kern w:val="0"/>
      <w:sz w:val="24"/>
      <w:szCs w:val="24"/>
      <w14:ligatures w14:val="none"/>
    </w:rPr>
  </w:style>
  <w:style w:type="paragraph" w:customStyle="1" w:styleId="Compact">
    <w:name w:val="Compact"/>
    <w:basedOn w:val="BodyText"/>
    <w:qFormat/>
    <w:rsid w:val="00B36E10"/>
    <w:pPr>
      <w:spacing w:before="36" w:after="36" w:line="240" w:lineRule="auto"/>
    </w:pPr>
    <w:rPr>
      <w:rFonts w:ascii="Arial" w:eastAsia="Arial" w:hAnsi="Arial" w:cs="Arial"/>
      <w:color w:val="000000" w:themeColor="text1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E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Kimberly Spill-Cristiano</cp:lastModifiedBy>
  <cp:revision>53</cp:revision>
  <dcterms:created xsi:type="dcterms:W3CDTF">2025-08-27T16:18:00Z</dcterms:created>
  <dcterms:modified xsi:type="dcterms:W3CDTF">2025-09-01T15:25:00Z</dcterms:modified>
</cp:coreProperties>
</file>